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925E93" w:rsidP="00FE5246">
      <w:pPr>
        <w:spacing w:after="0" w:line="360" w:lineRule="auto"/>
        <w:jc w:val="center"/>
        <w:rPr>
          <w:rFonts w:ascii="Times New Roman" w:hAnsi="Times New Roman" w:cs="Times New Roman"/>
          <w:b/>
          <w:sz w:val="24"/>
          <w:szCs w:val="24"/>
        </w:rPr>
      </w:pPr>
      <w:r w:rsidRPr="00F7647D">
        <w:rPr>
          <w:rFonts w:ascii="Times New Roman" w:hAnsi="Times New Roman" w:cs="Times New Roman"/>
          <w:b/>
          <w:sz w:val="24"/>
          <w:szCs w:val="24"/>
        </w:rPr>
        <w:t xml:space="preserve">ПРЕДЛОЖЕНИЕ ЗА ПРОМЯНА НА ТЕКСТА НА </w:t>
      </w:r>
    </w:p>
    <w:p w:rsidR="00BB10AE" w:rsidRPr="00F7647D" w:rsidRDefault="00925E93" w:rsidP="002D7312">
      <w:pPr>
        <w:pBdr>
          <w:bottom w:val="single" w:sz="4" w:space="1" w:color="auto"/>
        </w:pBd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ПОДМЯРКА 7.3</w:t>
      </w:r>
      <w:r w:rsidRPr="00F7647D">
        <w:rPr>
          <w:rFonts w:ascii="Times New Roman" w:hAnsi="Times New Roman" w:cs="Times New Roman"/>
          <w:b/>
          <w:sz w:val="24"/>
          <w:szCs w:val="24"/>
        </w:rPr>
        <w:t xml:space="preserve"> „</w:t>
      </w:r>
      <w:r w:rsidRPr="002B4B52">
        <w:rPr>
          <w:rFonts w:ascii="Times New Roman" w:hAnsi="Times New Roman" w:cs="Times New Roman"/>
          <w:b/>
          <w:sz w:val="24"/>
          <w:szCs w:val="24"/>
        </w:rPr>
        <w:t>ШИРОКОЛЕНТОВА ИНФРАСТРУКТУРА, ВКЛЮЧИТЕЛНО НЕЙНОТО СЪЗДАВАНЕ, ПОДОБРЕНИЕ И РАЗШИРЯВАНЕ</w:t>
      </w:r>
      <w:r w:rsidRPr="00F7647D">
        <w:rPr>
          <w:rFonts w:ascii="Times New Roman" w:hAnsi="Times New Roman" w:cs="Times New Roman"/>
          <w:b/>
          <w:sz w:val="24"/>
          <w:szCs w:val="24"/>
        </w:rPr>
        <w:t>“</w:t>
      </w:r>
    </w:p>
    <w:p w:rsidR="00F7647D" w:rsidRDefault="00F7647D" w:rsidP="00884781">
      <w:pPr>
        <w:pStyle w:val="ListParagraph"/>
        <w:spacing w:after="0"/>
        <w:ind w:left="0"/>
        <w:jc w:val="both"/>
        <w:rPr>
          <w:rFonts w:ascii="Times New Roman" w:hAnsi="Times New Roman" w:cs="Times New Roman"/>
          <w:sz w:val="24"/>
          <w:szCs w:val="24"/>
        </w:rPr>
      </w:pPr>
    </w:p>
    <w:p w:rsidR="003336D4" w:rsidRDefault="008A3DF4" w:rsidP="00884781">
      <w:pPr>
        <w:pStyle w:val="ListParagraph"/>
        <w:spacing w:after="0"/>
        <w:ind w:left="0" w:firstLine="709"/>
        <w:jc w:val="both"/>
        <w:rPr>
          <w:rFonts w:ascii="Times New Roman" w:hAnsi="Times New Roman" w:cs="Times New Roman"/>
          <w:sz w:val="24"/>
          <w:szCs w:val="24"/>
        </w:rPr>
      </w:pPr>
      <w:r w:rsidRPr="00F7647D">
        <w:rPr>
          <w:rFonts w:ascii="Times New Roman" w:hAnsi="Times New Roman" w:cs="Times New Roman"/>
          <w:sz w:val="24"/>
          <w:szCs w:val="24"/>
        </w:rPr>
        <w:t xml:space="preserve">Управляващият орган </w:t>
      </w:r>
      <w:r w:rsidR="003336D4" w:rsidRPr="00F7647D">
        <w:rPr>
          <w:rFonts w:ascii="Times New Roman" w:hAnsi="Times New Roman" w:cs="Times New Roman"/>
          <w:sz w:val="24"/>
          <w:szCs w:val="24"/>
        </w:rPr>
        <w:t xml:space="preserve">предлага </w:t>
      </w:r>
      <w:r w:rsidR="00AF50B3" w:rsidRPr="00F7647D">
        <w:rPr>
          <w:rFonts w:ascii="Times New Roman" w:hAnsi="Times New Roman" w:cs="Times New Roman"/>
          <w:sz w:val="24"/>
          <w:szCs w:val="24"/>
        </w:rPr>
        <w:t xml:space="preserve">да </w:t>
      </w:r>
      <w:r w:rsidR="00DB6DC6" w:rsidRPr="00F7647D">
        <w:rPr>
          <w:rFonts w:ascii="Times New Roman" w:hAnsi="Times New Roman" w:cs="Times New Roman"/>
          <w:sz w:val="24"/>
          <w:szCs w:val="24"/>
        </w:rPr>
        <w:t>се промен</w:t>
      </w:r>
      <w:r w:rsidR="00925E93">
        <w:rPr>
          <w:rFonts w:ascii="Times New Roman" w:hAnsi="Times New Roman" w:cs="Times New Roman"/>
          <w:sz w:val="24"/>
          <w:szCs w:val="24"/>
        </w:rPr>
        <w:t>и</w:t>
      </w:r>
      <w:r w:rsidR="00DB6DC6" w:rsidRPr="00F7647D">
        <w:rPr>
          <w:rFonts w:ascii="Times New Roman" w:hAnsi="Times New Roman" w:cs="Times New Roman"/>
          <w:sz w:val="24"/>
          <w:szCs w:val="24"/>
        </w:rPr>
        <w:t xml:space="preserve"> текст</w:t>
      </w:r>
      <w:r w:rsidR="003149F3">
        <w:rPr>
          <w:rFonts w:ascii="Times New Roman" w:hAnsi="Times New Roman" w:cs="Times New Roman"/>
          <w:sz w:val="24"/>
          <w:szCs w:val="24"/>
        </w:rPr>
        <w:t>а</w:t>
      </w:r>
      <w:r w:rsidR="0082480D">
        <w:rPr>
          <w:rFonts w:ascii="Times New Roman" w:hAnsi="Times New Roman" w:cs="Times New Roman"/>
          <w:sz w:val="24"/>
          <w:szCs w:val="24"/>
        </w:rPr>
        <w:t>,</w:t>
      </w:r>
      <w:r w:rsidR="005072C4" w:rsidRPr="00F7647D">
        <w:rPr>
          <w:rFonts w:ascii="Times New Roman" w:hAnsi="Times New Roman" w:cs="Times New Roman"/>
          <w:sz w:val="24"/>
          <w:szCs w:val="24"/>
        </w:rPr>
        <w:t xml:space="preserve"> касаещ </w:t>
      </w:r>
      <w:r w:rsidR="002B4B52">
        <w:rPr>
          <w:rFonts w:ascii="Times New Roman" w:hAnsi="Times New Roman" w:cs="Times New Roman"/>
          <w:sz w:val="24"/>
          <w:szCs w:val="24"/>
        </w:rPr>
        <w:t xml:space="preserve">изискването за предоставяне на </w:t>
      </w:r>
      <w:r w:rsidR="002B4B52" w:rsidRPr="002B4B52">
        <w:rPr>
          <w:rFonts w:ascii="Times New Roman" w:hAnsi="Times New Roman" w:cs="Times New Roman"/>
          <w:sz w:val="24"/>
          <w:szCs w:val="24"/>
        </w:rPr>
        <w:t>анализ Разходи-по</w:t>
      </w:r>
      <w:bookmarkStart w:id="0" w:name="_GoBack"/>
      <w:bookmarkEnd w:id="0"/>
      <w:r w:rsidR="002B4B52" w:rsidRPr="002B4B52">
        <w:rPr>
          <w:rFonts w:ascii="Times New Roman" w:hAnsi="Times New Roman" w:cs="Times New Roman"/>
          <w:sz w:val="24"/>
          <w:szCs w:val="24"/>
        </w:rPr>
        <w:t>лзи по методология в съответствие с Насоките на ЕК за Анализ на разходите и ползите от инвестиционните проекти за кохезионната политика за 2014-2020 и Регламент за изпълнение (ЕС) 2015/207 на Комисията от 20 януари 2015 година</w:t>
      </w:r>
      <w:r w:rsidR="002B4B52">
        <w:rPr>
          <w:rFonts w:ascii="Times New Roman" w:hAnsi="Times New Roman" w:cs="Times New Roman"/>
          <w:sz w:val="24"/>
          <w:szCs w:val="24"/>
        </w:rPr>
        <w:t xml:space="preserve"> за кандидати</w:t>
      </w:r>
      <w:r w:rsidR="00925E93">
        <w:rPr>
          <w:rFonts w:ascii="Times New Roman" w:hAnsi="Times New Roman" w:cs="Times New Roman"/>
          <w:sz w:val="24"/>
          <w:szCs w:val="24"/>
        </w:rPr>
        <w:t>.</w:t>
      </w:r>
    </w:p>
    <w:p w:rsidR="007679C2" w:rsidRDefault="007679C2" w:rsidP="004102ED">
      <w:pPr>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00CF24FC">
        <w:rPr>
          <w:rFonts w:ascii="Times New Roman" w:hAnsi="Times New Roman" w:cs="Times New Roman"/>
          <w:sz w:val="24"/>
          <w:szCs w:val="24"/>
        </w:rPr>
        <w:t xml:space="preserve">т. </w:t>
      </w:r>
      <w:r w:rsidR="00CF24FC" w:rsidRPr="00CF24FC">
        <w:rPr>
          <w:rFonts w:ascii="Times New Roman" w:hAnsi="Times New Roman" w:cs="Times New Roman"/>
          <w:sz w:val="24"/>
          <w:szCs w:val="24"/>
        </w:rPr>
        <w:t>8.2.</w:t>
      </w:r>
      <w:r w:rsidR="0077119A">
        <w:rPr>
          <w:rFonts w:ascii="Times New Roman" w:hAnsi="Times New Roman" w:cs="Times New Roman"/>
          <w:sz w:val="24"/>
          <w:szCs w:val="24"/>
        </w:rPr>
        <w:t>5</w:t>
      </w:r>
      <w:r w:rsidR="00CF24FC" w:rsidRPr="00CF24FC">
        <w:rPr>
          <w:rFonts w:ascii="Times New Roman" w:hAnsi="Times New Roman" w:cs="Times New Roman"/>
          <w:sz w:val="24"/>
          <w:szCs w:val="24"/>
        </w:rPr>
        <w:t>.3.</w:t>
      </w:r>
      <w:r w:rsidR="0077119A">
        <w:rPr>
          <w:rFonts w:ascii="Times New Roman" w:hAnsi="Times New Roman" w:cs="Times New Roman"/>
          <w:sz w:val="24"/>
          <w:szCs w:val="24"/>
        </w:rPr>
        <w:t>2</w:t>
      </w:r>
      <w:r w:rsidR="00CF24FC" w:rsidRPr="00CF24FC">
        <w:rPr>
          <w:rFonts w:ascii="Times New Roman" w:hAnsi="Times New Roman" w:cs="Times New Roman"/>
          <w:sz w:val="24"/>
          <w:szCs w:val="24"/>
        </w:rPr>
        <w:t>.</w:t>
      </w:r>
      <w:r w:rsidR="0077119A">
        <w:rPr>
          <w:rFonts w:ascii="Times New Roman" w:hAnsi="Times New Roman" w:cs="Times New Roman"/>
          <w:sz w:val="24"/>
          <w:szCs w:val="24"/>
        </w:rPr>
        <w:t>8</w:t>
      </w:r>
      <w:r w:rsidR="00CF24FC" w:rsidRPr="00CF24FC">
        <w:rPr>
          <w:rFonts w:ascii="Times New Roman" w:hAnsi="Times New Roman" w:cs="Times New Roman"/>
          <w:sz w:val="24"/>
          <w:szCs w:val="24"/>
        </w:rPr>
        <w:t xml:space="preserve">. </w:t>
      </w:r>
      <w:r w:rsidRPr="007679C2">
        <w:rPr>
          <w:rFonts w:ascii="Times New Roman" w:hAnsi="Times New Roman" w:cs="Times New Roman"/>
          <w:i/>
          <w:sz w:val="24"/>
          <w:szCs w:val="24"/>
        </w:rPr>
        <w:t>„</w:t>
      </w:r>
      <w:r w:rsidR="0077119A" w:rsidRPr="007679C2">
        <w:rPr>
          <w:rFonts w:ascii="Times New Roman" w:hAnsi="Times New Roman" w:cs="Times New Roman"/>
          <w:i/>
          <w:sz w:val="24"/>
          <w:szCs w:val="24"/>
        </w:rPr>
        <w:t>(Приложими) суми и проценти на предоставяната подкрепа</w:t>
      </w:r>
      <w:r w:rsidR="00CF24FC" w:rsidRPr="007679C2">
        <w:rPr>
          <w:rFonts w:ascii="Times New Roman" w:hAnsi="Times New Roman" w:cs="Times New Roman"/>
          <w:i/>
          <w:sz w:val="24"/>
          <w:szCs w:val="24"/>
        </w:rPr>
        <w:t>“</w:t>
      </w:r>
      <w:r>
        <w:rPr>
          <w:rFonts w:ascii="Times New Roman" w:hAnsi="Times New Roman" w:cs="Times New Roman"/>
          <w:sz w:val="24"/>
          <w:szCs w:val="24"/>
        </w:rPr>
        <w:t xml:space="preserve"> от ПРСР 2014-2020</w:t>
      </w:r>
      <w:r w:rsidR="00CF24FC">
        <w:rPr>
          <w:rFonts w:ascii="Times New Roman" w:hAnsi="Times New Roman" w:cs="Times New Roman"/>
          <w:sz w:val="24"/>
          <w:szCs w:val="24"/>
        </w:rPr>
        <w:t xml:space="preserve"> </w:t>
      </w:r>
      <w:r>
        <w:rPr>
          <w:rFonts w:ascii="Times New Roman" w:hAnsi="Times New Roman" w:cs="Times New Roman"/>
          <w:sz w:val="24"/>
          <w:szCs w:val="24"/>
        </w:rPr>
        <w:t xml:space="preserve">за кандидатите по </w:t>
      </w:r>
      <w:r w:rsidR="0077119A">
        <w:rPr>
          <w:rFonts w:ascii="Times New Roman" w:hAnsi="Times New Roman" w:cs="Times New Roman"/>
          <w:sz w:val="24"/>
          <w:szCs w:val="24"/>
        </w:rPr>
        <w:t>под</w:t>
      </w:r>
      <w:r w:rsidR="00CF24FC" w:rsidRPr="00CF24FC">
        <w:rPr>
          <w:rFonts w:ascii="Times New Roman" w:hAnsi="Times New Roman" w:cs="Times New Roman"/>
          <w:sz w:val="24"/>
          <w:szCs w:val="24"/>
        </w:rPr>
        <w:t>мя</w:t>
      </w:r>
      <w:r w:rsidR="0082480D">
        <w:rPr>
          <w:rFonts w:ascii="Times New Roman" w:hAnsi="Times New Roman" w:cs="Times New Roman"/>
          <w:sz w:val="24"/>
          <w:szCs w:val="24"/>
        </w:rPr>
        <w:t>р</w:t>
      </w:r>
      <w:r w:rsidR="00CF24FC" w:rsidRPr="00CF24FC">
        <w:rPr>
          <w:rFonts w:ascii="Times New Roman" w:hAnsi="Times New Roman" w:cs="Times New Roman"/>
          <w:sz w:val="24"/>
          <w:szCs w:val="24"/>
        </w:rPr>
        <w:t xml:space="preserve">ка </w:t>
      </w:r>
      <w:r w:rsidR="0077119A">
        <w:rPr>
          <w:rFonts w:ascii="Times New Roman" w:hAnsi="Times New Roman" w:cs="Times New Roman"/>
          <w:sz w:val="24"/>
          <w:szCs w:val="24"/>
        </w:rPr>
        <w:t>7.3</w:t>
      </w:r>
      <w:r w:rsidR="00CF24FC" w:rsidRPr="00CF24FC">
        <w:rPr>
          <w:rFonts w:ascii="Times New Roman" w:hAnsi="Times New Roman" w:cs="Times New Roman"/>
          <w:sz w:val="24"/>
          <w:szCs w:val="24"/>
        </w:rPr>
        <w:t xml:space="preserve"> </w:t>
      </w:r>
      <w:r w:rsidR="00323326">
        <w:rPr>
          <w:rFonts w:ascii="Times New Roman" w:hAnsi="Times New Roman" w:cs="Times New Roman"/>
          <w:sz w:val="24"/>
          <w:szCs w:val="24"/>
        </w:rPr>
        <w:t>„</w:t>
      </w:r>
      <w:r w:rsidR="0077119A" w:rsidRPr="0077119A">
        <w:rPr>
          <w:rFonts w:ascii="Times New Roman" w:hAnsi="Times New Roman" w:cs="Times New Roman"/>
          <w:sz w:val="24"/>
          <w:szCs w:val="24"/>
        </w:rPr>
        <w:t>Широколентова инфраструктура, включително нейното създаване, подобрение и разширяване</w:t>
      </w:r>
      <w:r w:rsidR="00323326">
        <w:rPr>
          <w:rFonts w:ascii="Times New Roman" w:hAnsi="Times New Roman" w:cs="Times New Roman"/>
          <w:sz w:val="24"/>
          <w:szCs w:val="24"/>
        </w:rPr>
        <w:t>“</w:t>
      </w:r>
      <w:r>
        <w:rPr>
          <w:rFonts w:ascii="Times New Roman" w:hAnsi="Times New Roman" w:cs="Times New Roman"/>
          <w:sz w:val="24"/>
          <w:szCs w:val="24"/>
        </w:rPr>
        <w:t xml:space="preserve">, е заложено изискването че, </w:t>
      </w:r>
      <w:r w:rsidRPr="007679C2">
        <w:rPr>
          <w:rFonts w:ascii="Times New Roman" w:hAnsi="Times New Roman" w:cs="Times New Roman"/>
          <w:sz w:val="24"/>
          <w:szCs w:val="24"/>
        </w:rPr>
        <w:t>финансовата помощ за дейности за създаване на широколентова инфраструктура ще се определя въз основа на анализ Разходи-ползи по методология в съответствие с Насоките на ЕК за Анализ на разходите и ползите от инвестиционните проекти за кохезионната политика за 2014-2020 и Регламент за изпълнение (ЕС) 2015/207 на Комисията от 20 януари 2015 година.</w:t>
      </w:r>
    </w:p>
    <w:p w:rsidR="00852507" w:rsidRDefault="007679C2" w:rsidP="004102ED">
      <w:pPr>
        <w:ind w:firstLine="709"/>
        <w:jc w:val="both"/>
        <w:rPr>
          <w:rFonts w:ascii="Times New Roman" w:hAnsi="Times New Roman" w:cs="Times New Roman"/>
          <w:sz w:val="24"/>
          <w:szCs w:val="24"/>
        </w:rPr>
      </w:pPr>
      <w:r>
        <w:rPr>
          <w:rFonts w:ascii="Times New Roman" w:hAnsi="Times New Roman" w:cs="Times New Roman"/>
          <w:sz w:val="24"/>
          <w:szCs w:val="24"/>
        </w:rPr>
        <w:t xml:space="preserve">Във връзка с изпълнението на това изискване в чл. 3 </w:t>
      </w:r>
      <w:r w:rsidRPr="007679C2">
        <w:rPr>
          <w:rFonts w:ascii="Times New Roman" w:hAnsi="Times New Roman" w:cs="Times New Roman"/>
          <w:i/>
          <w:sz w:val="24"/>
          <w:szCs w:val="24"/>
        </w:rPr>
        <w:t>„Методология за извършване на анализ на разходите и ползите“</w:t>
      </w:r>
      <w:r>
        <w:rPr>
          <w:rFonts w:ascii="Times New Roman" w:hAnsi="Times New Roman" w:cs="Times New Roman"/>
          <w:i/>
          <w:sz w:val="24"/>
          <w:szCs w:val="24"/>
        </w:rPr>
        <w:t xml:space="preserve"> </w:t>
      </w:r>
      <w:r>
        <w:rPr>
          <w:rFonts w:ascii="Times New Roman" w:hAnsi="Times New Roman" w:cs="Times New Roman"/>
          <w:sz w:val="24"/>
          <w:szCs w:val="24"/>
        </w:rPr>
        <w:t xml:space="preserve">на </w:t>
      </w:r>
      <w:r w:rsidRPr="007679C2">
        <w:rPr>
          <w:rFonts w:ascii="Times New Roman" w:hAnsi="Times New Roman" w:cs="Times New Roman"/>
          <w:sz w:val="24"/>
          <w:szCs w:val="24"/>
        </w:rPr>
        <w:t>Регламент за изпълнение (ЕС) 2015/207</w:t>
      </w:r>
      <w:r>
        <w:rPr>
          <w:rFonts w:ascii="Times New Roman" w:hAnsi="Times New Roman" w:cs="Times New Roman"/>
          <w:sz w:val="24"/>
          <w:szCs w:val="24"/>
        </w:rPr>
        <w:t xml:space="preserve"> е направена препратка към </w:t>
      </w:r>
      <w:r w:rsidRPr="007679C2">
        <w:rPr>
          <w:rFonts w:ascii="Times New Roman" w:hAnsi="Times New Roman" w:cs="Times New Roman"/>
          <w:sz w:val="24"/>
          <w:szCs w:val="24"/>
        </w:rPr>
        <w:t xml:space="preserve">член 101, първа алинея, буква д) </w:t>
      </w:r>
      <w:r w:rsidR="003149F3">
        <w:rPr>
          <w:rFonts w:ascii="Times New Roman" w:hAnsi="Times New Roman" w:cs="Times New Roman"/>
          <w:sz w:val="24"/>
          <w:szCs w:val="24"/>
        </w:rPr>
        <w:t>на</w:t>
      </w:r>
      <w:r w:rsidRPr="007679C2">
        <w:rPr>
          <w:rFonts w:ascii="Times New Roman" w:hAnsi="Times New Roman" w:cs="Times New Roman"/>
          <w:sz w:val="24"/>
          <w:szCs w:val="24"/>
        </w:rPr>
        <w:t xml:space="preserve"> Регламент (ЕС) № 1303/2013</w:t>
      </w:r>
      <w:r>
        <w:rPr>
          <w:rFonts w:ascii="Times New Roman" w:hAnsi="Times New Roman" w:cs="Times New Roman"/>
          <w:sz w:val="24"/>
          <w:szCs w:val="24"/>
        </w:rPr>
        <w:t>.</w:t>
      </w:r>
      <w:r w:rsidR="005F546E">
        <w:rPr>
          <w:rFonts w:ascii="Times New Roman" w:hAnsi="Times New Roman" w:cs="Times New Roman"/>
          <w:sz w:val="24"/>
          <w:szCs w:val="24"/>
        </w:rPr>
        <w:t xml:space="preserve"> От своя страна чл. 101 </w:t>
      </w:r>
      <w:r w:rsidR="005F546E" w:rsidRPr="005F546E">
        <w:rPr>
          <w:rFonts w:ascii="Times New Roman" w:hAnsi="Times New Roman" w:cs="Times New Roman"/>
          <w:i/>
          <w:sz w:val="24"/>
          <w:szCs w:val="24"/>
        </w:rPr>
        <w:t>„Информация, необходима за одобряването на големи проекти“</w:t>
      </w:r>
      <w:r w:rsidR="005F546E">
        <w:rPr>
          <w:rFonts w:ascii="Times New Roman" w:hAnsi="Times New Roman" w:cs="Times New Roman"/>
          <w:i/>
          <w:sz w:val="24"/>
          <w:szCs w:val="24"/>
        </w:rPr>
        <w:t xml:space="preserve"> </w:t>
      </w:r>
      <w:r w:rsidR="005F546E">
        <w:rPr>
          <w:rFonts w:ascii="Times New Roman" w:hAnsi="Times New Roman" w:cs="Times New Roman"/>
          <w:sz w:val="24"/>
          <w:szCs w:val="24"/>
        </w:rPr>
        <w:t xml:space="preserve">попада в </w:t>
      </w:r>
      <w:r w:rsidR="005F546E" w:rsidRPr="005F546E">
        <w:rPr>
          <w:rFonts w:ascii="Times New Roman" w:hAnsi="Times New Roman" w:cs="Times New Roman"/>
          <w:sz w:val="24"/>
          <w:szCs w:val="24"/>
        </w:rPr>
        <w:t>ГЛАВА II</w:t>
      </w:r>
      <w:r w:rsidR="005F546E">
        <w:rPr>
          <w:rFonts w:ascii="Times New Roman" w:hAnsi="Times New Roman" w:cs="Times New Roman"/>
          <w:sz w:val="24"/>
          <w:szCs w:val="24"/>
        </w:rPr>
        <w:t xml:space="preserve"> </w:t>
      </w:r>
      <w:r w:rsidR="005F546E" w:rsidRPr="005F546E">
        <w:rPr>
          <w:rFonts w:ascii="Times New Roman" w:hAnsi="Times New Roman" w:cs="Times New Roman"/>
          <w:i/>
          <w:sz w:val="24"/>
          <w:szCs w:val="24"/>
        </w:rPr>
        <w:t>„Големи прое</w:t>
      </w:r>
      <w:r w:rsidR="005F546E">
        <w:rPr>
          <w:rFonts w:ascii="Times New Roman" w:hAnsi="Times New Roman" w:cs="Times New Roman"/>
          <w:i/>
          <w:sz w:val="24"/>
          <w:szCs w:val="24"/>
        </w:rPr>
        <w:t>кт</w:t>
      </w:r>
      <w:r w:rsidR="005F546E" w:rsidRPr="005F546E">
        <w:rPr>
          <w:rFonts w:ascii="Times New Roman" w:hAnsi="Times New Roman" w:cs="Times New Roman"/>
          <w:i/>
          <w:sz w:val="24"/>
          <w:szCs w:val="24"/>
        </w:rPr>
        <w:t>и“</w:t>
      </w:r>
      <w:r w:rsidR="005F546E">
        <w:rPr>
          <w:rFonts w:ascii="Times New Roman" w:hAnsi="Times New Roman" w:cs="Times New Roman"/>
          <w:i/>
          <w:sz w:val="24"/>
          <w:szCs w:val="24"/>
        </w:rPr>
        <w:t xml:space="preserve"> </w:t>
      </w:r>
      <w:r w:rsidR="00852507">
        <w:rPr>
          <w:rFonts w:ascii="Times New Roman" w:hAnsi="Times New Roman" w:cs="Times New Roman"/>
          <w:sz w:val="24"/>
          <w:szCs w:val="24"/>
        </w:rPr>
        <w:t xml:space="preserve">на </w:t>
      </w:r>
      <w:r w:rsidR="00852507" w:rsidRPr="00852507">
        <w:rPr>
          <w:rFonts w:ascii="Times New Roman" w:hAnsi="Times New Roman" w:cs="Times New Roman"/>
          <w:sz w:val="24"/>
          <w:szCs w:val="24"/>
        </w:rPr>
        <w:t>Регламент (ЕС) № 1303/2013</w:t>
      </w:r>
      <w:r w:rsidR="00852507">
        <w:rPr>
          <w:rFonts w:ascii="Times New Roman" w:hAnsi="Times New Roman" w:cs="Times New Roman"/>
          <w:sz w:val="24"/>
          <w:szCs w:val="24"/>
        </w:rPr>
        <w:t xml:space="preserve">. </w:t>
      </w:r>
    </w:p>
    <w:p w:rsidR="007679C2" w:rsidRDefault="00852507" w:rsidP="004102ED">
      <w:pPr>
        <w:ind w:firstLine="709"/>
        <w:jc w:val="both"/>
        <w:rPr>
          <w:rFonts w:ascii="Times New Roman" w:hAnsi="Times New Roman" w:cs="Times New Roman"/>
          <w:i/>
          <w:sz w:val="24"/>
          <w:szCs w:val="24"/>
        </w:rPr>
      </w:pPr>
      <w:r>
        <w:rPr>
          <w:rFonts w:ascii="Times New Roman" w:hAnsi="Times New Roman" w:cs="Times New Roman"/>
          <w:sz w:val="24"/>
          <w:szCs w:val="24"/>
        </w:rPr>
        <w:t xml:space="preserve">В чл. 100 от ГЛАВА </w:t>
      </w:r>
      <w:r>
        <w:rPr>
          <w:rFonts w:ascii="Times New Roman" w:hAnsi="Times New Roman" w:cs="Times New Roman"/>
          <w:sz w:val="24"/>
          <w:szCs w:val="24"/>
          <w:lang w:val="en-GB"/>
        </w:rPr>
        <w:t xml:space="preserve">II </w:t>
      </w:r>
      <w:r>
        <w:rPr>
          <w:rFonts w:ascii="Times New Roman" w:hAnsi="Times New Roman" w:cs="Times New Roman"/>
          <w:sz w:val="24"/>
          <w:szCs w:val="24"/>
        </w:rPr>
        <w:t xml:space="preserve">е дадено ясно определение за „голям проект“, а именно: </w:t>
      </w:r>
      <w:r w:rsidRPr="00852507">
        <w:rPr>
          <w:rFonts w:ascii="Times New Roman" w:hAnsi="Times New Roman" w:cs="Times New Roman"/>
          <w:i/>
          <w:sz w:val="24"/>
          <w:szCs w:val="24"/>
        </w:rPr>
        <w:t xml:space="preserve">„Като част от оперативна програма или оперативни програми, които са предмет на решение на Комисията съгласно член 96, параграф 10 от настоящия регламент, ЕФРР и Кохезионният фонд могат да подкрепят операция, съдържаща серия от строителни работи, дейности или услуги, предназначени по своя характер да изпълнят неделима задача от точно икономическо или техническо естество, която има ясно определени цели и общите допустими разходи за която </w:t>
      </w:r>
      <w:r w:rsidRPr="00852507">
        <w:rPr>
          <w:rFonts w:ascii="Times New Roman" w:hAnsi="Times New Roman" w:cs="Times New Roman"/>
          <w:b/>
          <w:i/>
          <w:sz w:val="24"/>
          <w:szCs w:val="24"/>
        </w:rPr>
        <w:t xml:space="preserve">надхвърлят 50 000 </w:t>
      </w:r>
      <w:proofErr w:type="spellStart"/>
      <w:r w:rsidRPr="00852507">
        <w:rPr>
          <w:rFonts w:ascii="Times New Roman" w:hAnsi="Times New Roman" w:cs="Times New Roman"/>
          <w:b/>
          <w:i/>
          <w:sz w:val="24"/>
          <w:szCs w:val="24"/>
        </w:rPr>
        <w:t>000</w:t>
      </w:r>
      <w:proofErr w:type="spellEnd"/>
      <w:r w:rsidRPr="00852507">
        <w:rPr>
          <w:rFonts w:ascii="Times New Roman" w:hAnsi="Times New Roman" w:cs="Times New Roman"/>
          <w:b/>
          <w:i/>
          <w:sz w:val="24"/>
          <w:szCs w:val="24"/>
        </w:rPr>
        <w:t xml:space="preserve"> EUR</w:t>
      </w:r>
      <w:r w:rsidRPr="00852507">
        <w:rPr>
          <w:rFonts w:ascii="Times New Roman" w:hAnsi="Times New Roman" w:cs="Times New Roman"/>
          <w:i/>
          <w:sz w:val="24"/>
          <w:szCs w:val="24"/>
        </w:rPr>
        <w:t>, а в случая с операции за постигането на тематичната цел по член 9, първа алинея, точка 7</w:t>
      </w:r>
      <w:r>
        <w:rPr>
          <w:rFonts w:ascii="Times New Roman" w:hAnsi="Times New Roman" w:cs="Times New Roman"/>
          <w:i/>
          <w:sz w:val="24"/>
          <w:szCs w:val="24"/>
        </w:rPr>
        <w:t xml:space="preserve"> (</w:t>
      </w:r>
      <w:r w:rsidRPr="00852507">
        <w:rPr>
          <w:rFonts w:ascii="Times New Roman" w:hAnsi="Times New Roman" w:cs="Times New Roman"/>
          <w:i/>
          <w:sz w:val="24"/>
          <w:szCs w:val="24"/>
        </w:rPr>
        <w:t>насърчаване на устойчивия транспорт и премахване на участъците с недостатъчен капацитет във всички ключови мрежови инфраструктури</w:t>
      </w:r>
      <w:r>
        <w:rPr>
          <w:rFonts w:ascii="Times New Roman" w:hAnsi="Times New Roman" w:cs="Times New Roman"/>
          <w:i/>
          <w:sz w:val="24"/>
          <w:szCs w:val="24"/>
        </w:rPr>
        <w:t>)</w:t>
      </w:r>
      <w:r w:rsidRPr="00852507">
        <w:rPr>
          <w:rFonts w:ascii="Times New Roman" w:hAnsi="Times New Roman" w:cs="Times New Roman"/>
          <w:i/>
          <w:sz w:val="24"/>
          <w:szCs w:val="24"/>
        </w:rPr>
        <w:t xml:space="preserve"> — общите допустими разходи надхвърлят </w:t>
      </w:r>
      <w:r w:rsidRPr="003149F3">
        <w:rPr>
          <w:rFonts w:ascii="Times New Roman" w:hAnsi="Times New Roman" w:cs="Times New Roman"/>
          <w:b/>
          <w:i/>
          <w:sz w:val="24"/>
          <w:szCs w:val="24"/>
        </w:rPr>
        <w:t xml:space="preserve">75 000 </w:t>
      </w:r>
      <w:proofErr w:type="spellStart"/>
      <w:r w:rsidRPr="003149F3">
        <w:rPr>
          <w:rFonts w:ascii="Times New Roman" w:hAnsi="Times New Roman" w:cs="Times New Roman"/>
          <w:b/>
          <w:i/>
          <w:sz w:val="24"/>
          <w:szCs w:val="24"/>
        </w:rPr>
        <w:t>000</w:t>
      </w:r>
      <w:proofErr w:type="spellEnd"/>
      <w:r w:rsidRPr="003149F3">
        <w:rPr>
          <w:rFonts w:ascii="Times New Roman" w:hAnsi="Times New Roman" w:cs="Times New Roman"/>
          <w:b/>
          <w:i/>
          <w:sz w:val="24"/>
          <w:szCs w:val="24"/>
        </w:rPr>
        <w:t xml:space="preserve"> EUR, представлява („голям проект")</w:t>
      </w:r>
      <w:r>
        <w:rPr>
          <w:rFonts w:ascii="Times New Roman" w:hAnsi="Times New Roman" w:cs="Times New Roman"/>
          <w:i/>
          <w:sz w:val="24"/>
          <w:szCs w:val="24"/>
        </w:rPr>
        <w:t>“</w:t>
      </w:r>
      <w:r w:rsidRPr="00852507">
        <w:rPr>
          <w:rFonts w:ascii="Times New Roman" w:hAnsi="Times New Roman" w:cs="Times New Roman"/>
          <w:i/>
          <w:sz w:val="24"/>
          <w:szCs w:val="24"/>
        </w:rPr>
        <w:t>.</w:t>
      </w:r>
    </w:p>
    <w:p w:rsidR="003149F3" w:rsidRDefault="003149F3" w:rsidP="004102ED">
      <w:pPr>
        <w:ind w:firstLine="709"/>
        <w:jc w:val="both"/>
        <w:rPr>
          <w:rFonts w:ascii="Times New Roman" w:hAnsi="Times New Roman" w:cs="Times New Roman"/>
          <w:sz w:val="24"/>
          <w:szCs w:val="24"/>
        </w:rPr>
      </w:pPr>
      <w:r>
        <w:rPr>
          <w:rFonts w:ascii="Times New Roman" w:hAnsi="Times New Roman" w:cs="Times New Roman"/>
          <w:sz w:val="24"/>
          <w:szCs w:val="24"/>
        </w:rPr>
        <w:t xml:space="preserve">Отчитайки факта, че бюджетът по подмярка 7.3 е определен на 30 000 </w:t>
      </w:r>
      <w:proofErr w:type="spellStart"/>
      <w:r>
        <w:rPr>
          <w:rFonts w:ascii="Times New Roman" w:hAnsi="Times New Roman" w:cs="Times New Roman"/>
          <w:sz w:val="24"/>
          <w:szCs w:val="24"/>
        </w:rPr>
        <w:t>000</w:t>
      </w:r>
      <w:proofErr w:type="spellEnd"/>
      <w:r>
        <w:rPr>
          <w:rFonts w:ascii="Times New Roman" w:hAnsi="Times New Roman" w:cs="Times New Roman"/>
          <w:sz w:val="24"/>
          <w:szCs w:val="24"/>
        </w:rPr>
        <w:t xml:space="preserve"> ЕВРО, то не съществува вероятност проектът да попадне в хипотезата на „голям проект“</w:t>
      </w:r>
      <w:r w:rsidR="00925E93">
        <w:rPr>
          <w:rFonts w:ascii="Times New Roman" w:hAnsi="Times New Roman" w:cs="Times New Roman"/>
          <w:sz w:val="24"/>
          <w:szCs w:val="24"/>
        </w:rPr>
        <w:t>.</w:t>
      </w:r>
      <w:r>
        <w:rPr>
          <w:rFonts w:ascii="Times New Roman" w:hAnsi="Times New Roman" w:cs="Times New Roman"/>
          <w:sz w:val="24"/>
          <w:szCs w:val="24"/>
        </w:rPr>
        <w:t xml:space="preserve"> </w:t>
      </w:r>
      <w:r w:rsidR="00925E93">
        <w:rPr>
          <w:rFonts w:ascii="Times New Roman" w:hAnsi="Times New Roman" w:cs="Times New Roman"/>
          <w:sz w:val="24"/>
          <w:szCs w:val="24"/>
        </w:rPr>
        <w:t xml:space="preserve">Следователно </w:t>
      </w:r>
      <w:r>
        <w:rPr>
          <w:rFonts w:ascii="Times New Roman" w:hAnsi="Times New Roman" w:cs="Times New Roman"/>
          <w:sz w:val="24"/>
          <w:szCs w:val="24"/>
        </w:rPr>
        <w:t>за подпомагане на операции, които след приключване генерират нетни приходи</w:t>
      </w:r>
      <w:r w:rsidR="00925E93">
        <w:rPr>
          <w:rFonts w:ascii="Times New Roman" w:hAnsi="Times New Roman" w:cs="Times New Roman"/>
          <w:sz w:val="24"/>
          <w:szCs w:val="24"/>
        </w:rPr>
        <w:t>, следва да</w:t>
      </w:r>
      <w:r>
        <w:rPr>
          <w:rFonts w:ascii="Times New Roman" w:hAnsi="Times New Roman" w:cs="Times New Roman"/>
          <w:sz w:val="24"/>
          <w:szCs w:val="24"/>
        </w:rPr>
        <w:t xml:space="preserve"> се прилага чл. 61 от </w:t>
      </w:r>
      <w:r w:rsidRPr="003149F3">
        <w:rPr>
          <w:rFonts w:ascii="Times New Roman" w:hAnsi="Times New Roman" w:cs="Times New Roman"/>
          <w:sz w:val="24"/>
          <w:szCs w:val="24"/>
        </w:rPr>
        <w:t>Регламент (ЕС) № 1303/2013</w:t>
      </w:r>
      <w:r>
        <w:rPr>
          <w:rFonts w:ascii="Times New Roman" w:hAnsi="Times New Roman" w:cs="Times New Roman"/>
          <w:sz w:val="24"/>
          <w:szCs w:val="24"/>
        </w:rPr>
        <w:t>.</w:t>
      </w:r>
      <w:r w:rsidR="00D761F8">
        <w:rPr>
          <w:rFonts w:ascii="Times New Roman" w:hAnsi="Times New Roman" w:cs="Times New Roman"/>
          <w:sz w:val="24"/>
          <w:szCs w:val="24"/>
        </w:rPr>
        <w:t xml:space="preserve"> В параграфи от 1 до 6 на чл. 61 са описани правилата и методите за изчисляване на нетните приходи и разходи, като в параграф 8 от същия член е изрично посочено, че </w:t>
      </w:r>
      <w:r w:rsidR="00D761F8" w:rsidRPr="00D761F8">
        <w:rPr>
          <w:rFonts w:ascii="Times New Roman" w:hAnsi="Times New Roman" w:cs="Times New Roman"/>
          <w:i/>
          <w:sz w:val="24"/>
          <w:szCs w:val="24"/>
        </w:rPr>
        <w:t>„Параграфи 1—6 не се прилагат за операции, за които подкрепата в рамките на програмата представлява държавна помощ“</w:t>
      </w:r>
      <w:r w:rsidR="00D761F8">
        <w:rPr>
          <w:rFonts w:ascii="Times New Roman" w:hAnsi="Times New Roman" w:cs="Times New Roman"/>
          <w:sz w:val="24"/>
          <w:szCs w:val="24"/>
        </w:rPr>
        <w:t>.</w:t>
      </w:r>
    </w:p>
    <w:p w:rsidR="00D761F8" w:rsidRDefault="00D761F8" w:rsidP="004102ED">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тази връзка и във връзка с подготовката на документация за нотифициране на „Държавна помощ“ по подмярката, предлагаме текста по т. </w:t>
      </w:r>
      <w:r w:rsidRPr="00D761F8">
        <w:rPr>
          <w:rFonts w:ascii="Times New Roman" w:hAnsi="Times New Roman" w:cs="Times New Roman"/>
          <w:sz w:val="24"/>
          <w:szCs w:val="24"/>
        </w:rPr>
        <w:t>8.2.5.3.2.8. „(Приложими) суми и проценти на предоставяната подкрепа“</w:t>
      </w:r>
      <w:r>
        <w:rPr>
          <w:rFonts w:ascii="Times New Roman" w:hAnsi="Times New Roman" w:cs="Times New Roman"/>
          <w:sz w:val="24"/>
          <w:szCs w:val="24"/>
        </w:rPr>
        <w:t xml:space="preserve"> да се помени по следния начин:</w:t>
      </w:r>
    </w:p>
    <w:p w:rsidR="00323326" w:rsidRPr="00D47297" w:rsidRDefault="000D02F0" w:rsidP="009C38E8">
      <w:pPr>
        <w:ind w:firstLine="709"/>
        <w:jc w:val="both"/>
        <w:rPr>
          <w:rFonts w:ascii="Times New Roman" w:hAnsi="Times New Roman" w:cs="Times New Roman"/>
          <w:i/>
          <w:sz w:val="24"/>
          <w:szCs w:val="24"/>
          <w:lang w:val="en-GB"/>
        </w:rPr>
      </w:pPr>
      <w:r>
        <w:rPr>
          <w:rFonts w:ascii="Times New Roman" w:hAnsi="Times New Roman" w:cs="Times New Roman"/>
          <w:i/>
          <w:sz w:val="24"/>
          <w:szCs w:val="24"/>
        </w:rPr>
        <w:t>„</w:t>
      </w:r>
      <w:r w:rsidR="00D761F8" w:rsidRPr="000D02F0">
        <w:rPr>
          <w:rFonts w:ascii="Times New Roman" w:hAnsi="Times New Roman" w:cs="Times New Roman"/>
          <w:i/>
          <w:sz w:val="24"/>
          <w:szCs w:val="24"/>
        </w:rPr>
        <w:t xml:space="preserve">Финансовата помощ за дейности за създаване на широколентова инфраструктура ще се определя въз основа на анализ Разходи-ползи по методология в съответствие с </w:t>
      </w:r>
      <w:r w:rsidR="009C38E8">
        <w:rPr>
          <w:rFonts w:ascii="Times New Roman" w:hAnsi="Times New Roman" w:cs="Times New Roman"/>
          <w:i/>
          <w:sz w:val="24"/>
          <w:szCs w:val="24"/>
        </w:rPr>
        <w:t xml:space="preserve">разпоредбите на чл. 61 от </w:t>
      </w:r>
      <w:r w:rsidR="009C38E8" w:rsidRPr="009C38E8">
        <w:rPr>
          <w:rFonts w:ascii="Times New Roman" w:hAnsi="Times New Roman" w:cs="Times New Roman"/>
          <w:i/>
          <w:sz w:val="24"/>
          <w:szCs w:val="24"/>
        </w:rPr>
        <w:t>Регламент (ЕС) № 1303/2013 от 17 дек</w:t>
      </w:r>
      <w:r w:rsidR="009C38E8">
        <w:rPr>
          <w:rFonts w:ascii="Times New Roman" w:hAnsi="Times New Roman" w:cs="Times New Roman"/>
          <w:i/>
          <w:sz w:val="24"/>
          <w:szCs w:val="24"/>
        </w:rPr>
        <w:t>ември 2013 година“</w:t>
      </w:r>
      <w:r w:rsidR="009B66FA">
        <w:rPr>
          <w:rFonts w:ascii="Times New Roman" w:hAnsi="Times New Roman" w:cs="Times New Roman"/>
          <w:i/>
          <w:sz w:val="24"/>
          <w:szCs w:val="24"/>
        </w:rPr>
        <w:t>.</w:t>
      </w:r>
    </w:p>
    <w:p w:rsidR="00323326" w:rsidRPr="00323326" w:rsidRDefault="00323326" w:rsidP="004B5CC2">
      <w:pPr>
        <w:ind w:firstLine="708"/>
        <w:jc w:val="both"/>
        <w:rPr>
          <w:rFonts w:ascii="Times New Roman" w:hAnsi="Times New Roman" w:cs="Times New Roman"/>
          <w:b/>
          <w:bCs/>
          <w:sz w:val="24"/>
          <w:szCs w:val="24"/>
        </w:rPr>
      </w:pPr>
    </w:p>
    <w:p w:rsidR="009F1F50" w:rsidRPr="00F7647D" w:rsidRDefault="009F1F50" w:rsidP="00FB59BA">
      <w:pPr>
        <w:spacing w:after="0" w:line="360" w:lineRule="auto"/>
        <w:ind w:firstLine="708"/>
        <w:jc w:val="both"/>
        <w:rPr>
          <w:rFonts w:ascii="Times New Roman" w:hAnsi="Times New Roman" w:cs="Times New Roman"/>
          <w:b/>
          <w:bCs/>
          <w:sz w:val="24"/>
          <w:szCs w:val="24"/>
        </w:rPr>
      </w:pPr>
    </w:p>
    <w:p w:rsidR="00475F00" w:rsidRPr="00FB59BA" w:rsidRDefault="00475F00" w:rsidP="00475F00">
      <w:pPr>
        <w:spacing w:after="0" w:line="360" w:lineRule="auto"/>
        <w:ind w:firstLine="708"/>
        <w:jc w:val="both"/>
        <w:rPr>
          <w:rFonts w:ascii="Verdana" w:hAnsi="Verdana" w:cs="Times New Roman"/>
          <w:sz w:val="20"/>
          <w:szCs w:val="20"/>
        </w:rPr>
      </w:pPr>
    </w:p>
    <w:p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557484">
          <w:headerReference w:type="default" r:id="rId9"/>
          <w:footerReference w:type="default" r:id="rId10"/>
          <w:pgSz w:w="11906" w:h="16838"/>
          <w:pgMar w:top="356" w:right="1417" w:bottom="284" w:left="1417" w:header="142" w:footer="143" w:gutter="0"/>
          <w:cols w:space="708"/>
          <w:docGrid w:linePitch="360"/>
        </w:sectPr>
      </w:pPr>
    </w:p>
    <w:tbl>
      <w:tblPr>
        <w:tblW w:w="55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985"/>
        <w:gridCol w:w="6716"/>
        <w:gridCol w:w="5750"/>
      </w:tblGrid>
      <w:tr w:rsidR="001464C8" w:rsidRPr="00EA398A" w:rsidTr="009718DB">
        <w:tc>
          <w:tcPr>
            <w:tcW w:w="134" w:type="pct"/>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940" w:type="pct"/>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2115" w:type="pct"/>
            <w:shd w:val="clear" w:color="auto" w:fill="D9D9D9"/>
            <w:vAlign w:val="center"/>
          </w:tcPr>
          <w:p w:rsidR="001464C8" w:rsidRPr="00F7647D" w:rsidRDefault="001464C8" w:rsidP="0085482F">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подмярка </w:t>
            </w:r>
            <w:r w:rsidR="0085482F">
              <w:rPr>
                <w:rFonts w:ascii="Times New Roman" w:hAnsi="Times New Roman" w:cs="Times New Roman"/>
                <w:b/>
                <w:bCs/>
                <w:lang w:val="en-GB"/>
              </w:rPr>
              <w:t>7.3</w:t>
            </w:r>
            <w:r w:rsidRPr="00F7647D">
              <w:rPr>
                <w:rFonts w:ascii="Times New Roman" w:hAnsi="Times New Roman" w:cs="Times New Roman"/>
                <w:b/>
                <w:bCs/>
              </w:rPr>
              <w:t xml:space="preserve"> в ПРСР</w:t>
            </w:r>
          </w:p>
        </w:tc>
        <w:tc>
          <w:tcPr>
            <w:tcW w:w="1811" w:type="pct"/>
            <w:shd w:val="clear" w:color="auto" w:fill="D9D9D9"/>
            <w:vAlign w:val="center"/>
          </w:tcPr>
          <w:p w:rsidR="001464C8" w:rsidRPr="00F7647D" w:rsidRDefault="001464C8" w:rsidP="0085482F">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подмярка </w:t>
            </w:r>
            <w:r w:rsidR="0085482F">
              <w:rPr>
                <w:rFonts w:ascii="Times New Roman" w:hAnsi="Times New Roman" w:cs="Times New Roman"/>
                <w:b/>
                <w:bCs/>
                <w:lang w:val="en-GB"/>
              </w:rPr>
              <w:t>7.3</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1464C8" w:rsidRPr="00EA398A" w:rsidTr="009718DB">
        <w:trPr>
          <w:trHeight w:val="589"/>
        </w:trPr>
        <w:tc>
          <w:tcPr>
            <w:tcW w:w="134" w:type="pct"/>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940" w:type="pct"/>
            <w:tcBorders>
              <w:bottom w:val="single" w:sz="4" w:space="0" w:color="auto"/>
            </w:tcBorders>
            <w:shd w:val="clear" w:color="auto" w:fill="D9D9D9"/>
            <w:vAlign w:val="center"/>
          </w:tcPr>
          <w:p w:rsidR="001464C8" w:rsidRPr="00F7647D" w:rsidRDefault="001464C8" w:rsidP="00EA398A">
            <w:pPr>
              <w:spacing w:after="0" w:line="240" w:lineRule="auto"/>
              <w:jc w:val="center"/>
              <w:rPr>
                <w:rFonts w:ascii="Times New Roman" w:hAnsi="Times New Roman" w:cs="Times New Roman"/>
                <w:b/>
              </w:rPr>
            </w:pPr>
            <w:r w:rsidRPr="00F7647D">
              <w:rPr>
                <w:rFonts w:ascii="Times New Roman" w:hAnsi="Times New Roman" w:cs="Times New Roman"/>
                <w:b/>
              </w:rPr>
              <w:t xml:space="preserve">Мярка </w:t>
            </w:r>
            <w:r w:rsidR="0085482F">
              <w:rPr>
                <w:rFonts w:ascii="Times New Roman" w:hAnsi="Times New Roman" w:cs="Times New Roman"/>
                <w:b/>
                <w:lang w:val="en-GB"/>
              </w:rPr>
              <w:t>7</w:t>
            </w:r>
            <w:r w:rsidRPr="00F7647D">
              <w:rPr>
                <w:rFonts w:ascii="Times New Roman" w:hAnsi="Times New Roman" w:cs="Times New Roman"/>
                <w:b/>
              </w:rPr>
              <w:t xml:space="preserve"> „</w:t>
            </w:r>
            <w:r w:rsidR="0085482F" w:rsidRPr="0085482F">
              <w:rPr>
                <w:rFonts w:ascii="Times New Roman" w:hAnsi="Times New Roman" w:cs="Times New Roman"/>
                <w:b/>
              </w:rPr>
              <w:t>Основни услуги и обновяване на селата в селските райони</w:t>
            </w:r>
            <w:r w:rsidRPr="00F7647D">
              <w:rPr>
                <w:rFonts w:ascii="Times New Roman" w:hAnsi="Times New Roman" w:cs="Times New Roman"/>
                <w:b/>
              </w:rPr>
              <w:t>“,</w:t>
            </w:r>
          </w:p>
          <w:p w:rsidR="001464C8" w:rsidRPr="00F7647D" w:rsidRDefault="001464C8" w:rsidP="0085482F">
            <w:pPr>
              <w:spacing w:after="0" w:line="240" w:lineRule="auto"/>
              <w:jc w:val="center"/>
              <w:rPr>
                <w:rFonts w:ascii="Times New Roman" w:hAnsi="Times New Roman" w:cs="Times New Roman"/>
                <w:b/>
              </w:rPr>
            </w:pPr>
            <w:r w:rsidRPr="00F7647D">
              <w:rPr>
                <w:rFonts w:ascii="Times New Roman" w:hAnsi="Times New Roman" w:cs="Times New Roman"/>
                <w:b/>
              </w:rPr>
              <w:t xml:space="preserve">Подмярка </w:t>
            </w:r>
            <w:r w:rsidR="0085482F">
              <w:rPr>
                <w:rFonts w:ascii="Times New Roman" w:hAnsi="Times New Roman" w:cs="Times New Roman"/>
                <w:b/>
                <w:lang w:val="en-GB"/>
              </w:rPr>
              <w:t>7.3</w:t>
            </w:r>
            <w:r w:rsidRPr="00F7647D">
              <w:rPr>
                <w:rFonts w:ascii="Times New Roman" w:hAnsi="Times New Roman" w:cs="Times New Roman"/>
                <w:b/>
              </w:rPr>
              <w:t xml:space="preserve">. </w:t>
            </w:r>
            <w:r w:rsidR="00FB59BA" w:rsidRPr="00F7647D">
              <w:rPr>
                <w:rFonts w:ascii="Times New Roman" w:hAnsi="Times New Roman" w:cs="Times New Roman"/>
                <w:b/>
              </w:rPr>
              <w:t>„</w:t>
            </w:r>
            <w:r w:rsidR="0085482F" w:rsidRPr="0085482F">
              <w:rPr>
                <w:rFonts w:ascii="Times New Roman" w:hAnsi="Times New Roman" w:cs="Times New Roman"/>
                <w:b/>
              </w:rPr>
              <w:t>Широколентова инфраструктура, включително нейното създаване, подобрение и разширяване</w:t>
            </w:r>
            <w:r w:rsidR="00FB59BA" w:rsidRPr="0085482F">
              <w:rPr>
                <w:rFonts w:ascii="Times New Roman" w:hAnsi="Times New Roman" w:cs="Times New Roman"/>
                <w:b/>
              </w:rPr>
              <w:t>“</w:t>
            </w:r>
          </w:p>
        </w:tc>
        <w:tc>
          <w:tcPr>
            <w:tcW w:w="2115" w:type="pct"/>
            <w:tcBorders>
              <w:bottom w:val="single" w:sz="4" w:space="0" w:color="auto"/>
            </w:tcBorders>
            <w:shd w:val="clear" w:color="auto" w:fill="D9D9D9"/>
          </w:tcPr>
          <w:p w:rsidR="001464C8" w:rsidRPr="00F7647D" w:rsidRDefault="001464C8" w:rsidP="00EA398A">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D9D9D9"/>
          </w:tcPr>
          <w:p w:rsidR="001464C8" w:rsidRPr="00595C9D" w:rsidRDefault="001464C8" w:rsidP="00EA398A">
            <w:pPr>
              <w:spacing w:after="0" w:line="240" w:lineRule="auto"/>
              <w:jc w:val="both"/>
              <w:rPr>
                <w:rFonts w:ascii="Times New Roman" w:hAnsi="Times New Roman" w:cs="Times New Roman"/>
                <w:b/>
                <w:bCs/>
              </w:rPr>
            </w:pPr>
          </w:p>
        </w:tc>
      </w:tr>
      <w:tr w:rsidR="00595C9D" w:rsidRPr="00EA398A" w:rsidTr="009718DB">
        <w:trPr>
          <w:trHeight w:val="589"/>
        </w:trPr>
        <w:tc>
          <w:tcPr>
            <w:tcW w:w="134" w:type="pct"/>
            <w:tcBorders>
              <w:bottom w:val="single" w:sz="4" w:space="0" w:color="auto"/>
            </w:tcBorders>
            <w:shd w:val="clear" w:color="auto" w:fill="auto"/>
            <w:vAlign w:val="center"/>
          </w:tcPr>
          <w:p w:rsidR="00595C9D" w:rsidRPr="00993553" w:rsidRDefault="007378F9" w:rsidP="00EA398A">
            <w:pPr>
              <w:spacing w:after="0" w:line="240" w:lineRule="auto"/>
              <w:jc w:val="center"/>
              <w:rPr>
                <w:rFonts w:ascii="Times New Roman" w:hAnsi="Times New Roman" w:cs="Times New Roman"/>
                <w:bCs/>
              </w:rPr>
            </w:pPr>
            <w:r>
              <w:rPr>
                <w:rFonts w:ascii="Times New Roman" w:hAnsi="Times New Roman" w:cs="Times New Roman"/>
                <w:bCs/>
              </w:rPr>
              <w:t>1</w:t>
            </w:r>
          </w:p>
        </w:tc>
        <w:tc>
          <w:tcPr>
            <w:tcW w:w="940" w:type="pct"/>
            <w:tcBorders>
              <w:bottom w:val="single" w:sz="4" w:space="0" w:color="auto"/>
            </w:tcBorders>
            <w:shd w:val="clear" w:color="auto" w:fill="auto"/>
            <w:vAlign w:val="center"/>
          </w:tcPr>
          <w:p w:rsidR="00595C9D" w:rsidRPr="007378F9" w:rsidRDefault="0085482F" w:rsidP="00595C9D">
            <w:pPr>
              <w:spacing w:after="0" w:line="240" w:lineRule="auto"/>
              <w:jc w:val="center"/>
              <w:rPr>
                <w:rFonts w:ascii="Times New Roman" w:hAnsi="Times New Roman" w:cs="Times New Roman"/>
                <w:b/>
                <w:i/>
              </w:rPr>
            </w:pPr>
            <w:r w:rsidRPr="0085482F">
              <w:rPr>
                <w:rFonts w:ascii="Times New Roman" w:hAnsi="Times New Roman" w:cs="Times New Roman"/>
                <w:b/>
                <w:i/>
              </w:rPr>
              <w:t>8.2.5.3.2.8. (Приложими) суми и проценти на предоставяната подкрепа</w:t>
            </w:r>
          </w:p>
        </w:tc>
        <w:tc>
          <w:tcPr>
            <w:tcW w:w="2115" w:type="pct"/>
            <w:tcBorders>
              <w:bottom w:val="single" w:sz="4" w:space="0" w:color="auto"/>
            </w:tcBorders>
            <w:shd w:val="clear" w:color="auto" w:fill="auto"/>
          </w:tcPr>
          <w:p w:rsidR="00595C9D" w:rsidRPr="0085482F" w:rsidRDefault="0085482F" w:rsidP="0085482F">
            <w:pPr>
              <w:numPr>
                <w:ilvl w:val="0"/>
                <w:numId w:val="17"/>
              </w:numPr>
              <w:spacing w:line="240" w:lineRule="auto"/>
              <w:jc w:val="both"/>
              <w:rPr>
                <w:rFonts w:ascii="Times New Roman" w:hAnsi="Times New Roman" w:cs="Times New Roman"/>
                <w:sz w:val="24"/>
                <w:szCs w:val="24"/>
              </w:rPr>
            </w:pPr>
            <w:r>
              <w:rPr>
                <w:rFonts w:ascii="Times New Roman" w:hAnsi="Times New Roman" w:cs="Times New Roman"/>
                <w:sz w:val="24"/>
                <w:szCs w:val="24"/>
                <w:lang w:val="en-GB"/>
              </w:rPr>
              <w:t>“</w:t>
            </w:r>
            <w:r w:rsidRPr="0085482F">
              <w:rPr>
                <w:rFonts w:ascii="Times New Roman" w:hAnsi="Times New Roman" w:cs="Times New Roman"/>
                <w:sz w:val="24"/>
                <w:szCs w:val="24"/>
              </w:rPr>
              <w:t>Финансовата помощ за дейности за създаване на широколентова инфраструктура ще се определя въз основа на анализ Разходи-ползи по методология в съответствие с Насоките на ЕК за Анализ на разходите и ползите от инвестиционните проекти за кохезионната политика за 2014-2020 и Регламент за изпълнение (ЕС) 2015/207 на Ком</w:t>
            </w:r>
            <w:r>
              <w:rPr>
                <w:rFonts w:ascii="Times New Roman" w:hAnsi="Times New Roman" w:cs="Times New Roman"/>
                <w:sz w:val="24"/>
                <w:szCs w:val="24"/>
              </w:rPr>
              <w:t>исията от 20 януари 2015 година</w:t>
            </w:r>
            <w:r>
              <w:rPr>
                <w:rFonts w:ascii="Times New Roman" w:hAnsi="Times New Roman" w:cs="Times New Roman"/>
                <w:sz w:val="24"/>
                <w:szCs w:val="24"/>
                <w:lang w:val="en-GB"/>
              </w:rPr>
              <w:t>”.</w:t>
            </w:r>
          </w:p>
        </w:tc>
        <w:tc>
          <w:tcPr>
            <w:tcW w:w="1811" w:type="pct"/>
            <w:tcBorders>
              <w:bottom w:val="single" w:sz="4" w:space="0" w:color="auto"/>
            </w:tcBorders>
            <w:shd w:val="clear" w:color="auto" w:fill="auto"/>
          </w:tcPr>
          <w:p w:rsidR="00595C9D" w:rsidRPr="00595C9D" w:rsidRDefault="0085482F" w:rsidP="0085482F">
            <w:pPr>
              <w:numPr>
                <w:ilvl w:val="0"/>
                <w:numId w:val="17"/>
              </w:numPr>
              <w:spacing w:line="240" w:lineRule="auto"/>
              <w:jc w:val="both"/>
              <w:rPr>
                <w:rFonts w:ascii="Times New Roman" w:hAnsi="Times New Roman" w:cs="Times New Roman"/>
              </w:rPr>
            </w:pPr>
            <w:r w:rsidRPr="0085482F">
              <w:rPr>
                <w:rFonts w:ascii="Times New Roman" w:hAnsi="Times New Roman" w:cs="Times New Roman"/>
              </w:rPr>
              <w:t>„Финансовата помощ за дейности за създаване на широколентова инфраструктура ще се определя въз основа на анализ Разходи-ползи по методология в съответствие с разпоредбите на чл. 61 от Регламент (ЕС) № 1303/2013 от 17 декември 2013 година“.</w:t>
            </w:r>
          </w:p>
        </w:tc>
      </w:tr>
      <w:tr w:rsidR="00595C9D" w:rsidRPr="00EA398A" w:rsidTr="009718DB">
        <w:trPr>
          <w:trHeight w:val="589"/>
        </w:trPr>
        <w:tc>
          <w:tcPr>
            <w:tcW w:w="134" w:type="pct"/>
            <w:tcBorders>
              <w:bottom w:val="single" w:sz="4" w:space="0" w:color="auto"/>
            </w:tcBorders>
            <w:shd w:val="clear" w:color="auto" w:fill="D9D9D9"/>
            <w:vAlign w:val="center"/>
          </w:tcPr>
          <w:p w:rsidR="00595C9D" w:rsidRPr="00993553" w:rsidRDefault="00595C9D" w:rsidP="00EA398A">
            <w:pPr>
              <w:spacing w:after="0" w:line="240" w:lineRule="auto"/>
              <w:jc w:val="center"/>
              <w:rPr>
                <w:rFonts w:ascii="Times New Roman" w:hAnsi="Times New Roman" w:cs="Times New Roman"/>
                <w:bCs/>
              </w:rPr>
            </w:pPr>
          </w:p>
        </w:tc>
        <w:tc>
          <w:tcPr>
            <w:tcW w:w="940" w:type="pct"/>
            <w:tcBorders>
              <w:bottom w:val="single" w:sz="4" w:space="0" w:color="auto"/>
            </w:tcBorders>
            <w:shd w:val="clear" w:color="auto" w:fill="D9D9D9"/>
            <w:vAlign w:val="center"/>
          </w:tcPr>
          <w:p w:rsidR="00595C9D" w:rsidRPr="00595C9D" w:rsidRDefault="00595C9D" w:rsidP="00595C9D">
            <w:pPr>
              <w:spacing w:after="0" w:line="240" w:lineRule="auto"/>
              <w:jc w:val="center"/>
              <w:rPr>
                <w:rFonts w:ascii="Times New Roman" w:hAnsi="Times New Roman" w:cs="Times New Roman"/>
                <w:b/>
                <w:i/>
              </w:rPr>
            </w:pPr>
          </w:p>
        </w:tc>
        <w:tc>
          <w:tcPr>
            <w:tcW w:w="2115"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8A" w:rsidRDefault="008B148A" w:rsidP="0039528E">
      <w:pPr>
        <w:spacing w:after="0" w:line="240" w:lineRule="auto"/>
      </w:pPr>
      <w:r>
        <w:separator/>
      </w:r>
    </w:p>
  </w:endnote>
  <w:endnote w:type="continuationSeparator" w:id="0">
    <w:p w:rsidR="008B148A" w:rsidRDefault="008B148A"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latinum Bg">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557484">
          <w:rPr>
            <w:noProof/>
          </w:rPr>
          <w:t>2</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8A" w:rsidRDefault="008B148A" w:rsidP="0039528E">
      <w:pPr>
        <w:spacing w:after="0" w:line="240" w:lineRule="auto"/>
      </w:pPr>
      <w:r>
        <w:separator/>
      </w:r>
    </w:p>
  </w:footnote>
  <w:footnote w:type="continuationSeparator" w:id="0">
    <w:p w:rsidR="008B148A" w:rsidRDefault="008B148A" w:rsidP="003952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E93" w:rsidRDefault="00925E93" w:rsidP="00557484">
    <w:pPr>
      <w:keepNext/>
      <w:overflowPunct w:val="0"/>
      <w:autoSpaceDE w:val="0"/>
      <w:autoSpaceDN w:val="0"/>
      <w:adjustRightInd w:val="0"/>
      <w:spacing w:after="0" w:line="360" w:lineRule="exact"/>
      <w:ind w:left="6521"/>
      <w:jc w:val="center"/>
      <w:textAlignment w:val="baseline"/>
      <w:outlineLvl w:val="0"/>
      <w:rPr>
        <w:rFonts w:ascii="Platinum Bg" w:eastAsia="Times New Roman" w:hAnsi="Platinum Bg" w:cs="Times New Roman"/>
        <w:b/>
        <w:spacing w:val="40"/>
        <w:szCs w:val="20"/>
        <w:lang w:val="en-GB"/>
      </w:rPr>
    </w:pPr>
  </w:p>
  <w:p w:rsidR="00557484" w:rsidRDefault="00557484" w:rsidP="00557484">
    <w:pPr>
      <w:keepNext/>
      <w:overflowPunct w:val="0"/>
      <w:autoSpaceDE w:val="0"/>
      <w:autoSpaceDN w:val="0"/>
      <w:adjustRightInd w:val="0"/>
      <w:spacing w:after="0" w:line="360" w:lineRule="exact"/>
      <w:ind w:left="6521"/>
      <w:jc w:val="center"/>
      <w:textAlignment w:val="baseline"/>
      <w:outlineLvl w:val="0"/>
      <w:rPr>
        <w:rFonts w:ascii="Platinum Bg" w:eastAsia="Times New Roman" w:hAnsi="Platinum Bg" w:cs="Times New Roman"/>
        <w:b/>
        <w:spacing w:val="40"/>
        <w:szCs w:val="20"/>
        <w:lang w:val="en-GB"/>
      </w:rPr>
    </w:pPr>
  </w:p>
  <w:p w:rsidR="00557484" w:rsidRPr="00557484" w:rsidRDefault="00557484" w:rsidP="00557484">
    <w:pPr>
      <w:keepNext/>
      <w:overflowPunct w:val="0"/>
      <w:autoSpaceDE w:val="0"/>
      <w:autoSpaceDN w:val="0"/>
      <w:adjustRightInd w:val="0"/>
      <w:spacing w:after="0" w:line="360" w:lineRule="exact"/>
      <w:ind w:left="6521"/>
      <w:jc w:val="center"/>
      <w:textAlignment w:val="baseline"/>
      <w:outlineLvl w:val="0"/>
      <w:rPr>
        <w:rFonts w:ascii="Platinum Bg" w:eastAsia="Times New Roman" w:hAnsi="Platinum Bg" w:cs="Times New Roman"/>
        <w:b/>
        <w:spacing w:val="40"/>
        <w:szCs w:val="20"/>
        <w:lang w:val="en-GB"/>
      </w:rPr>
    </w:pPr>
  </w:p>
  <w:p w:rsidR="00925E93" w:rsidRDefault="00925E93" w:rsidP="00557484">
    <w:pPr>
      <w:keepNext/>
      <w:overflowPunct w:val="0"/>
      <w:autoSpaceDE w:val="0"/>
      <w:autoSpaceDN w:val="0"/>
      <w:adjustRightInd w:val="0"/>
      <w:spacing w:after="0" w:line="360" w:lineRule="exact"/>
      <w:ind w:left="4395"/>
      <w:textAlignment w:val="baseline"/>
      <w:outlineLvl w:val="0"/>
      <w:rPr>
        <w:rFonts w:ascii="Platinum Bg" w:eastAsia="Times New Roman" w:hAnsi="Platinum Bg" w:cs="Times New Roman"/>
        <w:b/>
        <w:spacing w:val="40"/>
        <w:sz w:val="40"/>
        <w:szCs w:val="40"/>
      </w:rPr>
    </w:pPr>
  </w:p>
  <w:p w:rsidR="00925E93" w:rsidRDefault="00925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7594894"/>
    <w:multiLevelType w:val="multilevel"/>
    <w:tmpl w:val="A09AD310"/>
    <w:styleLink w:val="Headings"/>
    <w:lvl w:ilvl="0">
      <w:start w:val="1"/>
      <w:numFmt w:val="decimal"/>
      <w:pStyle w:val="Heading1"/>
      <w:suff w:val="space"/>
      <w:lvlText w:val="%1."/>
      <w:lvlJc w:val="left"/>
      <w:pPr>
        <w:ind w:left="6521"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0">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5">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16">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17">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5"/>
  </w:num>
  <w:num w:numId="2">
    <w:abstractNumId w:val="4"/>
  </w:num>
  <w:num w:numId="3">
    <w:abstractNumId w:val="11"/>
  </w:num>
  <w:num w:numId="4">
    <w:abstractNumId w:val="10"/>
  </w:num>
  <w:num w:numId="5">
    <w:abstractNumId w:val="1"/>
  </w:num>
  <w:num w:numId="6">
    <w:abstractNumId w:val="12"/>
  </w:num>
  <w:num w:numId="7">
    <w:abstractNumId w:val="3"/>
  </w:num>
  <w:num w:numId="8">
    <w:abstractNumId w:val="2"/>
  </w:num>
  <w:num w:numId="9">
    <w:abstractNumId w:val="0"/>
  </w:num>
  <w:num w:numId="10">
    <w:abstractNumId w:val="8"/>
  </w:num>
  <w:num w:numId="11">
    <w:abstractNumId w:val="9"/>
  </w:num>
  <w:num w:numId="12">
    <w:abstractNumId w:val="6"/>
  </w:num>
  <w:num w:numId="13">
    <w:abstractNumId w:val="7"/>
  </w:num>
  <w:num w:numId="14">
    <w:abstractNumId w:val="14"/>
  </w:num>
  <w:num w:numId="15">
    <w:abstractNumId w:val="17"/>
  </w:num>
  <w:num w:numId="16">
    <w:abstractNumId w:val="16"/>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6592"/>
    <w:rsid w:val="00044429"/>
    <w:rsid w:val="00060D89"/>
    <w:rsid w:val="00061E68"/>
    <w:rsid w:val="00063202"/>
    <w:rsid w:val="00070D87"/>
    <w:rsid w:val="000711F8"/>
    <w:rsid w:val="000840D6"/>
    <w:rsid w:val="0009360E"/>
    <w:rsid w:val="000C2AF2"/>
    <w:rsid w:val="000C3494"/>
    <w:rsid w:val="000D025B"/>
    <w:rsid w:val="000D02F0"/>
    <w:rsid w:val="000F3B34"/>
    <w:rsid w:val="00120F75"/>
    <w:rsid w:val="00145219"/>
    <w:rsid w:val="001464C8"/>
    <w:rsid w:val="0015310C"/>
    <w:rsid w:val="00160072"/>
    <w:rsid w:val="00173D23"/>
    <w:rsid w:val="00183E77"/>
    <w:rsid w:val="001E2C3D"/>
    <w:rsid w:val="001E47ED"/>
    <w:rsid w:val="0021024C"/>
    <w:rsid w:val="0021565A"/>
    <w:rsid w:val="00232F4B"/>
    <w:rsid w:val="002460F2"/>
    <w:rsid w:val="00261090"/>
    <w:rsid w:val="00266328"/>
    <w:rsid w:val="0027034C"/>
    <w:rsid w:val="00280287"/>
    <w:rsid w:val="002B015A"/>
    <w:rsid w:val="002B4B52"/>
    <w:rsid w:val="002C104E"/>
    <w:rsid w:val="002C535D"/>
    <w:rsid w:val="002D7312"/>
    <w:rsid w:val="002D79C6"/>
    <w:rsid w:val="002E48CC"/>
    <w:rsid w:val="002F1106"/>
    <w:rsid w:val="002F5A0C"/>
    <w:rsid w:val="00304FF9"/>
    <w:rsid w:val="00310593"/>
    <w:rsid w:val="00313A15"/>
    <w:rsid w:val="003149F3"/>
    <w:rsid w:val="003166E8"/>
    <w:rsid w:val="00323326"/>
    <w:rsid w:val="00330392"/>
    <w:rsid w:val="003336D4"/>
    <w:rsid w:val="003675E7"/>
    <w:rsid w:val="00385A3E"/>
    <w:rsid w:val="00393D91"/>
    <w:rsid w:val="0039528E"/>
    <w:rsid w:val="003B08E8"/>
    <w:rsid w:val="003E081A"/>
    <w:rsid w:val="003E42F5"/>
    <w:rsid w:val="003E561B"/>
    <w:rsid w:val="004102ED"/>
    <w:rsid w:val="00416AED"/>
    <w:rsid w:val="004352A2"/>
    <w:rsid w:val="00440DA8"/>
    <w:rsid w:val="00450270"/>
    <w:rsid w:val="004524AA"/>
    <w:rsid w:val="00452900"/>
    <w:rsid w:val="004546D5"/>
    <w:rsid w:val="004625BF"/>
    <w:rsid w:val="00475F00"/>
    <w:rsid w:val="004866C4"/>
    <w:rsid w:val="004A18FA"/>
    <w:rsid w:val="004B06DD"/>
    <w:rsid w:val="004B5CC2"/>
    <w:rsid w:val="004D1BF8"/>
    <w:rsid w:val="004D6C6F"/>
    <w:rsid w:val="005072C4"/>
    <w:rsid w:val="00557484"/>
    <w:rsid w:val="00560F36"/>
    <w:rsid w:val="00561E0F"/>
    <w:rsid w:val="00562325"/>
    <w:rsid w:val="00572617"/>
    <w:rsid w:val="00595C9D"/>
    <w:rsid w:val="005A3F03"/>
    <w:rsid w:val="005A70DF"/>
    <w:rsid w:val="005B499D"/>
    <w:rsid w:val="005E49D7"/>
    <w:rsid w:val="005E7479"/>
    <w:rsid w:val="005F546E"/>
    <w:rsid w:val="006136DD"/>
    <w:rsid w:val="00626DF1"/>
    <w:rsid w:val="00627292"/>
    <w:rsid w:val="0063062D"/>
    <w:rsid w:val="0064362D"/>
    <w:rsid w:val="00645B68"/>
    <w:rsid w:val="00653AE5"/>
    <w:rsid w:val="00655BCB"/>
    <w:rsid w:val="0066335D"/>
    <w:rsid w:val="00666E06"/>
    <w:rsid w:val="00670390"/>
    <w:rsid w:val="00677CDC"/>
    <w:rsid w:val="00685AB3"/>
    <w:rsid w:val="00697F68"/>
    <w:rsid w:val="006B081A"/>
    <w:rsid w:val="006C2CC4"/>
    <w:rsid w:val="006F0984"/>
    <w:rsid w:val="00700A06"/>
    <w:rsid w:val="00706595"/>
    <w:rsid w:val="00716F43"/>
    <w:rsid w:val="00716F66"/>
    <w:rsid w:val="00722FAC"/>
    <w:rsid w:val="0073381A"/>
    <w:rsid w:val="00736BCB"/>
    <w:rsid w:val="007378F9"/>
    <w:rsid w:val="00737EC3"/>
    <w:rsid w:val="00740A03"/>
    <w:rsid w:val="00745977"/>
    <w:rsid w:val="007515A2"/>
    <w:rsid w:val="00752182"/>
    <w:rsid w:val="00754DE6"/>
    <w:rsid w:val="00766717"/>
    <w:rsid w:val="007679C2"/>
    <w:rsid w:val="0077119A"/>
    <w:rsid w:val="007813C7"/>
    <w:rsid w:val="0078287A"/>
    <w:rsid w:val="00794EFF"/>
    <w:rsid w:val="007B08E2"/>
    <w:rsid w:val="007C0BE3"/>
    <w:rsid w:val="007F4CB0"/>
    <w:rsid w:val="008042E0"/>
    <w:rsid w:val="00815796"/>
    <w:rsid w:val="008210F0"/>
    <w:rsid w:val="0082480D"/>
    <w:rsid w:val="0084626A"/>
    <w:rsid w:val="00852507"/>
    <w:rsid w:val="0085482F"/>
    <w:rsid w:val="00875488"/>
    <w:rsid w:val="00884781"/>
    <w:rsid w:val="008A3DF4"/>
    <w:rsid w:val="008B148A"/>
    <w:rsid w:val="008C74E1"/>
    <w:rsid w:val="008E611B"/>
    <w:rsid w:val="00904550"/>
    <w:rsid w:val="0092390C"/>
    <w:rsid w:val="00924D30"/>
    <w:rsid w:val="00925E93"/>
    <w:rsid w:val="00932E24"/>
    <w:rsid w:val="009355F0"/>
    <w:rsid w:val="009718DB"/>
    <w:rsid w:val="00982E05"/>
    <w:rsid w:val="00993553"/>
    <w:rsid w:val="009B66FA"/>
    <w:rsid w:val="009B7211"/>
    <w:rsid w:val="009C38E8"/>
    <w:rsid w:val="009C7F38"/>
    <w:rsid w:val="009D6EF7"/>
    <w:rsid w:val="009F0F8C"/>
    <w:rsid w:val="009F1F50"/>
    <w:rsid w:val="009F7EF6"/>
    <w:rsid w:val="00A15DCD"/>
    <w:rsid w:val="00A212F8"/>
    <w:rsid w:val="00A546C4"/>
    <w:rsid w:val="00A73BFD"/>
    <w:rsid w:val="00A81476"/>
    <w:rsid w:val="00A907B0"/>
    <w:rsid w:val="00AA1712"/>
    <w:rsid w:val="00AD014F"/>
    <w:rsid w:val="00AD1CB7"/>
    <w:rsid w:val="00AF50B3"/>
    <w:rsid w:val="00B01AE9"/>
    <w:rsid w:val="00B063C3"/>
    <w:rsid w:val="00B15518"/>
    <w:rsid w:val="00B175ED"/>
    <w:rsid w:val="00B20AC8"/>
    <w:rsid w:val="00B212A5"/>
    <w:rsid w:val="00B318D7"/>
    <w:rsid w:val="00B32F4D"/>
    <w:rsid w:val="00B4444C"/>
    <w:rsid w:val="00B636D1"/>
    <w:rsid w:val="00B65D08"/>
    <w:rsid w:val="00B669EE"/>
    <w:rsid w:val="00B8456B"/>
    <w:rsid w:val="00BB0FE0"/>
    <w:rsid w:val="00BB10AE"/>
    <w:rsid w:val="00BC3B9D"/>
    <w:rsid w:val="00BD2F7F"/>
    <w:rsid w:val="00BF5889"/>
    <w:rsid w:val="00C21EC7"/>
    <w:rsid w:val="00C23E3F"/>
    <w:rsid w:val="00C50A58"/>
    <w:rsid w:val="00C50D83"/>
    <w:rsid w:val="00C61047"/>
    <w:rsid w:val="00C95F78"/>
    <w:rsid w:val="00CC361C"/>
    <w:rsid w:val="00CC5A47"/>
    <w:rsid w:val="00CE3DB8"/>
    <w:rsid w:val="00CE714D"/>
    <w:rsid w:val="00CF0AD8"/>
    <w:rsid w:val="00CF24FC"/>
    <w:rsid w:val="00CF26DB"/>
    <w:rsid w:val="00D02F69"/>
    <w:rsid w:val="00D36B33"/>
    <w:rsid w:val="00D3789A"/>
    <w:rsid w:val="00D47297"/>
    <w:rsid w:val="00D507F6"/>
    <w:rsid w:val="00D62E35"/>
    <w:rsid w:val="00D631BE"/>
    <w:rsid w:val="00D634CE"/>
    <w:rsid w:val="00D761F8"/>
    <w:rsid w:val="00D83AF4"/>
    <w:rsid w:val="00DA1AAD"/>
    <w:rsid w:val="00DA5B13"/>
    <w:rsid w:val="00DB6DC6"/>
    <w:rsid w:val="00DD7513"/>
    <w:rsid w:val="00DD7EB0"/>
    <w:rsid w:val="00DF3258"/>
    <w:rsid w:val="00E00519"/>
    <w:rsid w:val="00E01BEA"/>
    <w:rsid w:val="00E02E16"/>
    <w:rsid w:val="00E22764"/>
    <w:rsid w:val="00E27E15"/>
    <w:rsid w:val="00E41D7C"/>
    <w:rsid w:val="00E54411"/>
    <w:rsid w:val="00E569DB"/>
    <w:rsid w:val="00E7424E"/>
    <w:rsid w:val="00E868AC"/>
    <w:rsid w:val="00E90E12"/>
    <w:rsid w:val="00EA148A"/>
    <w:rsid w:val="00EA398A"/>
    <w:rsid w:val="00EC24D3"/>
    <w:rsid w:val="00ED0477"/>
    <w:rsid w:val="00ED2FA4"/>
    <w:rsid w:val="00ED4586"/>
    <w:rsid w:val="00EE601E"/>
    <w:rsid w:val="00EF0F48"/>
    <w:rsid w:val="00F047D0"/>
    <w:rsid w:val="00F16665"/>
    <w:rsid w:val="00F44947"/>
    <w:rsid w:val="00F52022"/>
    <w:rsid w:val="00F547D0"/>
    <w:rsid w:val="00F633A5"/>
    <w:rsid w:val="00F74F92"/>
    <w:rsid w:val="00F7647D"/>
    <w:rsid w:val="00FA3049"/>
    <w:rsid w:val="00FB59BA"/>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ind w:left="0"/>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D761F8"/>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D761F8"/>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ind w:left="0"/>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D761F8"/>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D761F8"/>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6799A-6306-469C-B472-845025A7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Elena A. Ivanova</cp:lastModifiedBy>
  <cp:revision>6</cp:revision>
  <cp:lastPrinted>2019-12-19T12:01:00Z</cp:lastPrinted>
  <dcterms:created xsi:type="dcterms:W3CDTF">2019-12-19T10:39:00Z</dcterms:created>
  <dcterms:modified xsi:type="dcterms:W3CDTF">2019-12-31T08:46:00Z</dcterms:modified>
</cp:coreProperties>
</file>